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0F26" w14:textId="67DBCC53" w:rsidR="00576617" w:rsidRPr="00727036" w:rsidRDefault="00D800B4" w:rsidP="00727036">
      <w:pPr>
        <w:spacing w:after="0"/>
        <w:ind w:left="0" w:firstLine="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b/>
          <w:sz w:val="22"/>
          <w:u w:val="single" w:color="000000"/>
        </w:rPr>
        <w:t>AUTOCERTIFICAZIONE DEI TITOLI DI PREFERENZA</w:t>
      </w:r>
    </w:p>
    <w:p w14:paraId="49DCF0DB" w14:textId="3C33B7F0" w:rsidR="00576617" w:rsidRPr="00727036" w:rsidRDefault="00576617" w:rsidP="00727036">
      <w:pPr>
        <w:spacing w:after="0"/>
        <w:ind w:left="0" w:firstLine="0"/>
        <w:rPr>
          <w:rFonts w:ascii="Palatino Linotype" w:hAnsi="Palatino Linotype"/>
          <w:sz w:val="22"/>
        </w:rPr>
      </w:pPr>
    </w:p>
    <w:p w14:paraId="3C10E969" w14:textId="27244DFA" w:rsidR="00576617" w:rsidRPr="00727036" w:rsidRDefault="00D800B4" w:rsidP="00727036">
      <w:pPr>
        <w:spacing w:after="0"/>
        <w:ind w:left="0" w:firstLine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Il/La sottoscritto/a ________________</w:t>
      </w:r>
      <w:r w:rsidR="001001BF" w:rsidRPr="00727036">
        <w:rPr>
          <w:rFonts w:ascii="Palatino Linotype" w:hAnsi="Palatino Linotype"/>
          <w:sz w:val="22"/>
        </w:rPr>
        <w:t>_______________</w:t>
      </w:r>
      <w:r w:rsidRPr="00727036">
        <w:rPr>
          <w:rFonts w:ascii="Palatino Linotype" w:hAnsi="Palatino Linotype"/>
          <w:sz w:val="22"/>
        </w:rPr>
        <w:t>_______________________________</w:t>
      </w:r>
      <w:r w:rsidR="001001BF" w:rsidRPr="00727036">
        <w:rPr>
          <w:rFonts w:ascii="Palatino Linotype" w:hAnsi="Palatino Linotype"/>
          <w:sz w:val="22"/>
        </w:rPr>
        <w:t>_</w:t>
      </w:r>
      <w:r w:rsidRPr="00727036">
        <w:rPr>
          <w:rFonts w:ascii="Palatino Linotype" w:hAnsi="Palatino Linotype"/>
          <w:sz w:val="22"/>
        </w:rPr>
        <w:t>______</w:t>
      </w:r>
    </w:p>
    <w:p w14:paraId="16219E6B" w14:textId="4492B290" w:rsidR="001001BF" w:rsidRPr="00727036" w:rsidRDefault="001001BF" w:rsidP="00727036">
      <w:pPr>
        <w:tabs>
          <w:tab w:val="center" w:pos="1378"/>
          <w:tab w:val="center" w:pos="3516"/>
          <w:tab w:val="center" w:pos="5668"/>
          <w:tab w:val="center" w:pos="7136"/>
          <w:tab w:val="center" w:pos="8970"/>
          <w:tab w:val="right" w:pos="10183"/>
        </w:tabs>
        <w:spacing w:after="0"/>
        <w:ind w:left="0" w:firstLine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N</w:t>
      </w:r>
      <w:r w:rsidR="00D800B4" w:rsidRPr="00727036">
        <w:rPr>
          <w:rFonts w:ascii="Palatino Linotype" w:hAnsi="Palatino Linotype"/>
          <w:sz w:val="22"/>
        </w:rPr>
        <w:t>at</w:t>
      </w:r>
      <w:r w:rsidRPr="00727036">
        <w:rPr>
          <w:rFonts w:ascii="Palatino Linotype" w:hAnsi="Palatino Linotype"/>
          <w:sz w:val="22"/>
        </w:rPr>
        <w:t>o/a</w:t>
      </w:r>
      <w:r w:rsidR="00D800B4" w:rsidRPr="00727036">
        <w:rPr>
          <w:rFonts w:ascii="Palatino Linotype" w:hAnsi="Palatino Linotype"/>
          <w:sz w:val="22"/>
        </w:rPr>
        <w:t xml:space="preserve"> </w:t>
      </w:r>
      <w:proofErr w:type="spellStart"/>
      <w:r w:rsidR="00D800B4" w:rsidRPr="00727036">
        <w:rPr>
          <w:rFonts w:ascii="Palatino Linotype" w:hAnsi="Palatino Linotype"/>
          <w:sz w:val="22"/>
        </w:rPr>
        <w:t>a</w:t>
      </w:r>
      <w:proofErr w:type="spellEnd"/>
      <w:r w:rsidR="00D800B4" w:rsidRPr="00727036">
        <w:rPr>
          <w:rFonts w:ascii="Palatino Linotype" w:hAnsi="Palatino Linotype"/>
          <w:sz w:val="22"/>
        </w:rPr>
        <w:t xml:space="preserve"> </w:t>
      </w:r>
      <w:r w:rsidR="00D800B4" w:rsidRPr="00727036">
        <w:rPr>
          <w:rFonts w:ascii="Palatino Linotype" w:hAnsi="Palatino Linotype"/>
          <w:sz w:val="22"/>
        </w:rPr>
        <w:tab/>
        <w:t>_________________________</w:t>
      </w:r>
      <w:r w:rsidRPr="00727036">
        <w:rPr>
          <w:rFonts w:ascii="Palatino Linotype" w:hAnsi="Palatino Linotype"/>
          <w:sz w:val="22"/>
        </w:rPr>
        <w:t xml:space="preserve">____________________________________ </w:t>
      </w:r>
      <w:r w:rsidR="00D800B4" w:rsidRPr="00727036">
        <w:rPr>
          <w:rFonts w:ascii="Palatino Linotype" w:hAnsi="Palatino Linotype"/>
          <w:sz w:val="22"/>
        </w:rPr>
        <w:t xml:space="preserve">il </w:t>
      </w:r>
      <w:r w:rsidR="00D800B4" w:rsidRPr="00727036">
        <w:rPr>
          <w:rFonts w:ascii="Palatino Linotype" w:hAnsi="Palatino Linotype"/>
          <w:sz w:val="22"/>
        </w:rPr>
        <w:tab/>
        <w:t>___</w:t>
      </w:r>
      <w:r w:rsidRPr="00727036">
        <w:rPr>
          <w:rFonts w:ascii="Palatino Linotype" w:hAnsi="Palatino Linotype"/>
          <w:sz w:val="22"/>
        </w:rPr>
        <w:t xml:space="preserve"> </w:t>
      </w:r>
      <w:r w:rsidR="00D800B4" w:rsidRPr="00727036">
        <w:rPr>
          <w:rFonts w:ascii="Palatino Linotype" w:hAnsi="Palatino Linotype"/>
          <w:sz w:val="22"/>
        </w:rPr>
        <w:t>/___</w:t>
      </w:r>
      <w:r w:rsidRPr="00727036">
        <w:rPr>
          <w:rFonts w:ascii="Palatino Linotype" w:hAnsi="Palatino Linotype"/>
          <w:sz w:val="22"/>
        </w:rPr>
        <w:t xml:space="preserve"> </w:t>
      </w:r>
      <w:r w:rsidR="00D800B4" w:rsidRPr="00727036">
        <w:rPr>
          <w:rFonts w:ascii="Palatino Linotype" w:hAnsi="Palatino Linotype"/>
          <w:sz w:val="22"/>
        </w:rPr>
        <w:t>/______</w:t>
      </w:r>
    </w:p>
    <w:p w14:paraId="5369AD2B" w14:textId="31E02EC2" w:rsidR="001001BF" w:rsidRPr="00727036" w:rsidRDefault="00D800B4" w:rsidP="00727036">
      <w:pPr>
        <w:tabs>
          <w:tab w:val="center" w:pos="1378"/>
          <w:tab w:val="center" w:pos="3516"/>
          <w:tab w:val="center" w:pos="5668"/>
          <w:tab w:val="center" w:pos="7136"/>
          <w:tab w:val="center" w:pos="8970"/>
          <w:tab w:val="right" w:pos="10183"/>
        </w:tabs>
        <w:spacing w:after="0"/>
        <w:ind w:left="0" w:firstLine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residente </w:t>
      </w:r>
      <w:r w:rsidRPr="00727036">
        <w:rPr>
          <w:rFonts w:ascii="Palatino Linotype" w:hAnsi="Palatino Linotype"/>
          <w:sz w:val="22"/>
        </w:rPr>
        <w:tab/>
        <w:t>in _____________________________</w:t>
      </w:r>
      <w:r w:rsidR="001001BF" w:rsidRPr="00727036">
        <w:rPr>
          <w:rFonts w:ascii="Palatino Linotype" w:hAnsi="Palatino Linotype"/>
          <w:sz w:val="22"/>
        </w:rPr>
        <w:t xml:space="preserve">_________________________________ CAP </w:t>
      </w:r>
      <w:r w:rsidRPr="00727036">
        <w:rPr>
          <w:rFonts w:ascii="Palatino Linotype" w:hAnsi="Palatino Linotype"/>
          <w:sz w:val="22"/>
        </w:rPr>
        <w:t>________</w:t>
      </w:r>
    </w:p>
    <w:p w14:paraId="2D947784" w14:textId="7ACA4130" w:rsidR="00576617" w:rsidRPr="00727036" w:rsidRDefault="001001BF" w:rsidP="00727036">
      <w:pPr>
        <w:tabs>
          <w:tab w:val="center" w:pos="1378"/>
          <w:tab w:val="center" w:pos="3516"/>
          <w:tab w:val="center" w:pos="5668"/>
          <w:tab w:val="center" w:pos="7136"/>
          <w:tab w:val="center" w:pos="8970"/>
          <w:tab w:val="right" w:pos="10183"/>
        </w:tabs>
        <w:spacing w:after="0"/>
        <w:ind w:left="0" w:firstLine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indirizzo</w:t>
      </w:r>
      <w:r w:rsidR="00D800B4" w:rsidRPr="00727036">
        <w:rPr>
          <w:rFonts w:ascii="Palatino Linotype" w:hAnsi="Palatino Linotype"/>
          <w:sz w:val="22"/>
        </w:rPr>
        <w:t xml:space="preserve"> </w:t>
      </w:r>
      <w:r w:rsidRPr="00727036">
        <w:rPr>
          <w:rFonts w:ascii="Palatino Linotype" w:hAnsi="Palatino Linotype"/>
          <w:sz w:val="22"/>
        </w:rPr>
        <w:t>___________________________________________________________</w:t>
      </w:r>
      <w:r w:rsidR="00D800B4" w:rsidRPr="00727036">
        <w:rPr>
          <w:rFonts w:ascii="Palatino Linotype" w:hAnsi="Palatino Linotype"/>
          <w:sz w:val="22"/>
        </w:rPr>
        <w:t>__</w:t>
      </w:r>
      <w:r w:rsidRPr="00727036">
        <w:rPr>
          <w:rFonts w:ascii="Palatino Linotype" w:hAnsi="Palatino Linotype"/>
          <w:sz w:val="22"/>
        </w:rPr>
        <w:t>_</w:t>
      </w:r>
      <w:r w:rsidR="00D800B4" w:rsidRPr="00727036">
        <w:rPr>
          <w:rFonts w:ascii="Palatino Linotype" w:hAnsi="Palatino Linotype"/>
          <w:sz w:val="22"/>
        </w:rPr>
        <w:t xml:space="preserve">_ </w:t>
      </w:r>
      <w:r w:rsidRPr="00727036">
        <w:rPr>
          <w:rFonts w:ascii="Palatino Linotype" w:hAnsi="Palatino Linotype"/>
          <w:sz w:val="22"/>
        </w:rPr>
        <w:t>n.</w:t>
      </w:r>
      <w:r w:rsidR="00D800B4" w:rsidRPr="00727036">
        <w:rPr>
          <w:rFonts w:ascii="Palatino Linotype" w:hAnsi="Palatino Linotype"/>
          <w:sz w:val="22"/>
        </w:rPr>
        <w:t xml:space="preserve"> </w:t>
      </w:r>
      <w:r w:rsidRPr="00727036">
        <w:rPr>
          <w:rFonts w:ascii="Palatino Linotype" w:hAnsi="Palatino Linotype"/>
          <w:sz w:val="22"/>
        </w:rPr>
        <w:t>___</w:t>
      </w:r>
      <w:r w:rsidR="00D800B4" w:rsidRPr="00727036">
        <w:rPr>
          <w:rFonts w:ascii="Palatino Linotype" w:hAnsi="Palatino Linotype"/>
          <w:sz w:val="22"/>
        </w:rPr>
        <w:t xml:space="preserve">________ </w:t>
      </w:r>
    </w:p>
    <w:p w14:paraId="33B9CA83" w14:textId="77777777" w:rsidR="00576617" w:rsidRPr="00727036" w:rsidRDefault="00D800B4" w:rsidP="00727036">
      <w:pPr>
        <w:spacing w:after="0" w:line="371" w:lineRule="auto"/>
        <w:ind w:left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b/>
          <w:sz w:val="22"/>
        </w:rPr>
        <w:t>Consapevole delle sanzioni penali e delle altre sanzioni previste dall’art. 76 del D.P.R. 445/2000 e dall’art. 55-</w:t>
      </w:r>
      <w:r w:rsidRPr="00727036">
        <w:rPr>
          <w:rFonts w:ascii="Palatino Linotype" w:hAnsi="Palatino Linotype"/>
          <w:b/>
          <w:i/>
          <w:sz w:val="22"/>
        </w:rPr>
        <w:t>quater</w:t>
      </w:r>
      <w:r w:rsidRPr="00727036">
        <w:rPr>
          <w:rFonts w:ascii="Palatino Linotype" w:hAnsi="Palatino Linotype"/>
          <w:b/>
          <w:sz w:val="22"/>
        </w:rPr>
        <w:t xml:space="preserve"> del </w:t>
      </w:r>
      <w:proofErr w:type="spellStart"/>
      <w:r w:rsidRPr="00727036">
        <w:rPr>
          <w:rFonts w:ascii="Palatino Linotype" w:hAnsi="Palatino Linotype"/>
          <w:b/>
          <w:sz w:val="22"/>
        </w:rPr>
        <w:t>D.Lgs.</w:t>
      </w:r>
      <w:proofErr w:type="spellEnd"/>
      <w:r w:rsidRPr="00727036">
        <w:rPr>
          <w:rFonts w:ascii="Palatino Linotype" w:hAnsi="Palatino Linotype"/>
          <w:b/>
          <w:sz w:val="22"/>
        </w:rPr>
        <w:t xml:space="preserve"> 165/2001 </w:t>
      </w:r>
    </w:p>
    <w:p w14:paraId="799AC8F8" w14:textId="28306190" w:rsidR="00576617" w:rsidRPr="00727036" w:rsidRDefault="00D800B4" w:rsidP="00727036">
      <w:pPr>
        <w:pStyle w:val="Titolo1"/>
        <w:spacing w:after="0"/>
        <w:ind w:left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DICHIARA</w:t>
      </w:r>
    </w:p>
    <w:p w14:paraId="421CD9F0" w14:textId="631B9379" w:rsidR="00576617" w:rsidRPr="00727036" w:rsidRDefault="00D800B4" w:rsidP="00727036">
      <w:pPr>
        <w:spacing w:after="0"/>
        <w:ind w:left="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Di possedere i seguenti titoli di preferenza di cui all’allegato art. 5, commi 4 e 5, D.P.R. 487/1994.</w:t>
      </w:r>
    </w:p>
    <w:p w14:paraId="67E1B22A" w14:textId="77777777" w:rsidR="00576617" w:rsidRPr="00727036" w:rsidRDefault="00D800B4" w:rsidP="00727036">
      <w:pPr>
        <w:spacing w:after="0"/>
        <w:ind w:left="0" w:firstLine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 </w:t>
      </w:r>
    </w:p>
    <w:p w14:paraId="587CD743" w14:textId="48A4F735" w:rsidR="00576617" w:rsidRPr="00727036" w:rsidRDefault="00D800B4" w:rsidP="00727036">
      <w:pPr>
        <w:numPr>
          <w:ilvl w:val="0"/>
          <w:numId w:val="1"/>
        </w:numPr>
        <w:spacing w:after="0"/>
        <w:ind w:left="0" w:hanging="36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__________________</w:t>
      </w:r>
      <w:r w:rsidR="001001BF" w:rsidRPr="00727036">
        <w:rPr>
          <w:rFonts w:ascii="Palatino Linotype" w:hAnsi="Palatino Linotype"/>
          <w:sz w:val="22"/>
        </w:rPr>
        <w:t>__________</w:t>
      </w:r>
      <w:r w:rsidRPr="00727036">
        <w:rPr>
          <w:rFonts w:ascii="Palatino Linotype" w:hAnsi="Palatino Linotype"/>
          <w:sz w:val="22"/>
        </w:rPr>
        <w:t>____________________________________________</w:t>
      </w:r>
    </w:p>
    <w:p w14:paraId="485B15A8" w14:textId="6A18040B" w:rsidR="00576617" w:rsidRPr="00727036" w:rsidRDefault="00576617" w:rsidP="00727036">
      <w:pPr>
        <w:spacing w:after="0"/>
        <w:ind w:left="0" w:firstLine="0"/>
        <w:jc w:val="center"/>
        <w:rPr>
          <w:rFonts w:ascii="Palatino Linotype" w:hAnsi="Palatino Linotype"/>
          <w:sz w:val="22"/>
        </w:rPr>
      </w:pPr>
    </w:p>
    <w:p w14:paraId="1A56205F" w14:textId="77777777" w:rsidR="001001BF" w:rsidRPr="00727036" w:rsidRDefault="001001BF" w:rsidP="00727036">
      <w:pPr>
        <w:numPr>
          <w:ilvl w:val="0"/>
          <w:numId w:val="1"/>
        </w:numPr>
        <w:spacing w:after="0"/>
        <w:ind w:left="0" w:hanging="36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________________________________________________________________________</w:t>
      </w:r>
    </w:p>
    <w:p w14:paraId="5781F530" w14:textId="1D9DE1F0" w:rsidR="00576617" w:rsidRPr="00727036" w:rsidRDefault="00576617" w:rsidP="00727036">
      <w:pPr>
        <w:spacing w:after="0"/>
        <w:ind w:left="0" w:firstLine="0"/>
        <w:jc w:val="center"/>
        <w:rPr>
          <w:rFonts w:ascii="Palatino Linotype" w:hAnsi="Palatino Linotype"/>
          <w:sz w:val="22"/>
        </w:rPr>
      </w:pPr>
    </w:p>
    <w:p w14:paraId="75249EE5" w14:textId="77777777" w:rsidR="001001BF" w:rsidRPr="00727036" w:rsidRDefault="001001BF" w:rsidP="00727036">
      <w:pPr>
        <w:numPr>
          <w:ilvl w:val="0"/>
          <w:numId w:val="1"/>
        </w:numPr>
        <w:spacing w:after="0"/>
        <w:ind w:left="0" w:hanging="36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________________________________________________________________________</w:t>
      </w:r>
    </w:p>
    <w:p w14:paraId="608687F3" w14:textId="663C3E3E" w:rsidR="00576617" w:rsidRPr="00727036" w:rsidRDefault="00576617" w:rsidP="00727036">
      <w:pPr>
        <w:spacing w:after="0"/>
        <w:ind w:left="0" w:firstLine="0"/>
        <w:jc w:val="center"/>
        <w:rPr>
          <w:rFonts w:ascii="Palatino Linotype" w:hAnsi="Palatino Linotype"/>
          <w:sz w:val="22"/>
        </w:rPr>
      </w:pPr>
    </w:p>
    <w:p w14:paraId="18F0B4D9" w14:textId="77777777" w:rsidR="001001BF" w:rsidRPr="00727036" w:rsidRDefault="001001BF" w:rsidP="00727036">
      <w:pPr>
        <w:numPr>
          <w:ilvl w:val="0"/>
          <w:numId w:val="1"/>
        </w:numPr>
        <w:spacing w:after="0"/>
        <w:ind w:left="0" w:hanging="36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________________________________________________________________________</w:t>
      </w:r>
    </w:p>
    <w:p w14:paraId="23428214" w14:textId="41BDA7D7" w:rsidR="00576617" w:rsidRPr="00727036" w:rsidRDefault="00576617" w:rsidP="00727036">
      <w:pPr>
        <w:spacing w:after="0"/>
        <w:ind w:left="0" w:firstLine="0"/>
        <w:jc w:val="center"/>
        <w:rPr>
          <w:rFonts w:ascii="Palatino Linotype" w:hAnsi="Palatino Linotype"/>
          <w:sz w:val="22"/>
        </w:rPr>
      </w:pPr>
    </w:p>
    <w:p w14:paraId="6556B3D5" w14:textId="77777777" w:rsidR="001001BF" w:rsidRPr="00727036" w:rsidRDefault="001001BF" w:rsidP="00727036">
      <w:pPr>
        <w:numPr>
          <w:ilvl w:val="0"/>
          <w:numId w:val="1"/>
        </w:numPr>
        <w:spacing w:after="0"/>
        <w:ind w:left="0" w:hanging="36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________________________________________________________________________</w:t>
      </w:r>
    </w:p>
    <w:p w14:paraId="0C6F5BB5" w14:textId="6338A4E4" w:rsidR="00576617" w:rsidRPr="00727036" w:rsidRDefault="00576617" w:rsidP="00727036">
      <w:pPr>
        <w:spacing w:after="0"/>
        <w:ind w:left="5103" w:firstLine="0"/>
        <w:jc w:val="center"/>
        <w:rPr>
          <w:rFonts w:ascii="Palatino Linotype" w:hAnsi="Palatino Linotype"/>
          <w:sz w:val="22"/>
        </w:rPr>
      </w:pPr>
    </w:p>
    <w:p w14:paraId="271DDCC3" w14:textId="246E5C68" w:rsidR="00576617" w:rsidRPr="00727036" w:rsidRDefault="00D800B4" w:rsidP="00727036">
      <w:pPr>
        <w:spacing w:after="0"/>
        <w:ind w:left="5103" w:firstLine="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b/>
          <w:sz w:val="22"/>
        </w:rPr>
        <w:t>Il/La sottoscritto/a</w:t>
      </w:r>
    </w:p>
    <w:p w14:paraId="2E04AF28" w14:textId="77777777" w:rsidR="001001BF" w:rsidRPr="00727036" w:rsidRDefault="00D800B4" w:rsidP="00727036">
      <w:pPr>
        <w:spacing w:after="0"/>
        <w:ind w:left="5103" w:firstLine="0"/>
        <w:jc w:val="center"/>
        <w:rPr>
          <w:rFonts w:ascii="Palatino Linotype" w:hAnsi="Palatino Linotype"/>
          <w:b/>
          <w:sz w:val="22"/>
        </w:rPr>
      </w:pPr>
      <w:r w:rsidRPr="00727036">
        <w:rPr>
          <w:rFonts w:ascii="Palatino Linotype" w:hAnsi="Palatino Linotype"/>
          <w:b/>
          <w:sz w:val="22"/>
        </w:rPr>
        <w:t>________________________</w:t>
      </w:r>
      <w:r w:rsidR="001001BF" w:rsidRPr="00727036">
        <w:rPr>
          <w:rFonts w:ascii="Palatino Linotype" w:hAnsi="Palatino Linotype"/>
          <w:b/>
          <w:sz w:val="22"/>
        </w:rPr>
        <w:t>___________</w:t>
      </w:r>
    </w:p>
    <w:p w14:paraId="3FAAEC8C" w14:textId="19D44089" w:rsidR="001001BF" w:rsidRPr="00727036" w:rsidRDefault="001001BF" w:rsidP="00727036">
      <w:pPr>
        <w:spacing w:after="0"/>
        <w:ind w:left="0" w:firstLine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br w:type="page"/>
      </w:r>
    </w:p>
    <w:p w14:paraId="1EC253EE" w14:textId="77777777" w:rsidR="00576617" w:rsidRPr="00727036" w:rsidRDefault="00D800B4" w:rsidP="00727036">
      <w:pPr>
        <w:pStyle w:val="Titolo1"/>
        <w:spacing w:after="0"/>
        <w:ind w:left="0" w:right="4" w:firstLine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lastRenderedPageBreak/>
        <w:t xml:space="preserve">Art. 5 - comma 4 - DPR 487/1994 e successive modificazioni </w:t>
      </w:r>
    </w:p>
    <w:p w14:paraId="201AA575" w14:textId="07CE96A1" w:rsidR="00576617" w:rsidRPr="00727036" w:rsidRDefault="001001BF" w:rsidP="00727036">
      <w:pPr>
        <w:spacing w:after="0"/>
        <w:ind w:left="0" w:firstLine="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…</w:t>
      </w:r>
      <w:r w:rsidR="00D800B4" w:rsidRPr="00727036">
        <w:rPr>
          <w:rFonts w:ascii="Palatino Linotype" w:hAnsi="Palatino Linotype"/>
          <w:sz w:val="22"/>
        </w:rPr>
        <w:t xml:space="preserve">omissis… </w:t>
      </w:r>
    </w:p>
    <w:p w14:paraId="394A44BC" w14:textId="77777777" w:rsidR="00576617" w:rsidRPr="00727036" w:rsidRDefault="00D800B4" w:rsidP="00727036">
      <w:pPr>
        <w:spacing w:after="0"/>
        <w:ind w:left="0" w:firstLine="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 </w:t>
      </w:r>
    </w:p>
    <w:p w14:paraId="713BA1DB" w14:textId="77777777" w:rsidR="00576617" w:rsidRPr="00727036" w:rsidRDefault="00D800B4" w:rsidP="00727036">
      <w:pPr>
        <w:spacing w:after="0"/>
        <w:ind w:left="0" w:firstLine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b/>
          <w:sz w:val="22"/>
        </w:rPr>
        <w:t xml:space="preserve">Co. 4. Le categorie di cittadini che nei concorsi pubblici hanno preferenza a parità di merito e a parità di titoli sono appresso elencate. A parità di merito i titoli di preferenza sono: </w:t>
      </w:r>
    </w:p>
    <w:p w14:paraId="17BD4C4B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Gli insigniti di medaglia al valor militare; </w:t>
      </w:r>
    </w:p>
    <w:p w14:paraId="542484EE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mutilati ed invalidi di guerra ex combattenti; </w:t>
      </w:r>
    </w:p>
    <w:p w14:paraId="180C7455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mutilati ed invalidi per fatto di guerra; </w:t>
      </w:r>
    </w:p>
    <w:p w14:paraId="30D79A80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mutilati ed orfani per servizio nel settore pubblico e privato; </w:t>
      </w:r>
    </w:p>
    <w:p w14:paraId="5A4EEE20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Gli orfani di guerra; </w:t>
      </w:r>
    </w:p>
    <w:p w14:paraId="2112225C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Gli orfani dei caduti per fatto di guerra; </w:t>
      </w:r>
    </w:p>
    <w:p w14:paraId="4FBCEA01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Gli orfani dei caduti per servizio nel settore pubblico e privato; </w:t>
      </w:r>
    </w:p>
    <w:p w14:paraId="1D6A0640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feriti in combattimento; </w:t>
      </w:r>
    </w:p>
    <w:p w14:paraId="077E8F95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Gli insigniti di croce di guerra o di altra attestazione speciale di merito di guerra, nonché i capi di famiglia numerosa; </w:t>
      </w:r>
    </w:p>
    <w:p w14:paraId="1D5701CD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figli dei mutilati e degli invalidi di guerra ex combattenti; </w:t>
      </w:r>
    </w:p>
    <w:p w14:paraId="2DECD191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figli dei mutilati e degli invalidi per fatto di guerra; </w:t>
      </w:r>
    </w:p>
    <w:p w14:paraId="71307513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figli dei mutilati e degli invalidi per servizio nel settore pubblico e privato; </w:t>
      </w:r>
    </w:p>
    <w:p w14:paraId="6B084C17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genitori vedovi non risposati, i coniugi non risposati e le sorelle ed i fratelli vedovi o non sposati dei caduti di guerra; </w:t>
      </w:r>
    </w:p>
    <w:p w14:paraId="385C07AA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genitori vedovi non risposati, i coniugi non risposati e le sorelle ed i fratelli vedovi e non sposati dei caduti per fatti di guerra; </w:t>
      </w:r>
    </w:p>
    <w:p w14:paraId="3D9EE198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genitori vedovi non risposati, i coniugi non risposati e le sorelle ed i fratelli vedovi o non risposati dei caduti per servizio nel settore pubblico e privato; </w:t>
      </w:r>
    </w:p>
    <w:p w14:paraId="13416015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Coloro che abbiano prestato servizio militare come combattenti; </w:t>
      </w:r>
    </w:p>
    <w:p w14:paraId="4E0FD3A1" w14:textId="694CBF19" w:rsidR="00576617" w:rsidRPr="00727036" w:rsidRDefault="00D800B4" w:rsidP="00727036">
      <w:pPr>
        <w:numPr>
          <w:ilvl w:val="0"/>
          <w:numId w:val="2"/>
        </w:numPr>
        <w:spacing w:after="0" w:line="351" w:lineRule="auto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Coloro che abbiano prestato lodevole servizio a qualunque titolo, per non meno di un anno nell’amministrazione comunale </w:t>
      </w:r>
      <w:r w:rsidR="002D08BF" w:rsidRPr="00727036">
        <w:rPr>
          <w:rFonts w:ascii="Palatino Linotype" w:hAnsi="Palatino Linotype"/>
          <w:sz w:val="22"/>
        </w:rPr>
        <w:t>che ha indetto il concorso</w:t>
      </w:r>
      <w:r w:rsidRPr="00727036">
        <w:rPr>
          <w:rFonts w:ascii="Palatino Linotype" w:hAnsi="Palatino Linotype"/>
          <w:sz w:val="22"/>
        </w:rPr>
        <w:t xml:space="preserve">; </w:t>
      </w:r>
    </w:p>
    <w:p w14:paraId="5036A4B3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coniugati e non i coniugati con riguardo al numero dei figli a carico; </w:t>
      </w:r>
    </w:p>
    <w:p w14:paraId="5B593F5E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Gli invalidi ed i mutilati civili; </w:t>
      </w:r>
    </w:p>
    <w:p w14:paraId="09E0D8E9" w14:textId="77777777" w:rsidR="00576617" w:rsidRPr="00727036" w:rsidRDefault="00D800B4" w:rsidP="00727036">
      <w:pPr>
        <w:numPr>
          <w:ilvl w:val="0"/>
          <w:numId w:val="2"/>
        </w:numPr>
        <w:spacing w:after="0"/>
        <w:ind w:left="426" w:hanging="284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 militari volontari delle Forze Armate congedati senza demerito al termine della ferma o rafferma. </w:t>
      </w:r>
    </w:p>
    <w:p w14:paraId="11EE1B5E" w14:textId="77777777" w:rsidR="00576617" w:rsidRPr="00727036" w:rsidRDefault="00D800B4" w:rsidP="00727036">
      <w:pPr>
        <w:spacing w:after="0"/>
        <w:ind w:left="0" w:firstLine="0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 </w:t>
      </w:r>
    </w:p>
    <w:p w14:paraId="769CABE1" w14:textId="0E23FC37" w:rsidR="00576617" w:rsidRPr="00727036" w:rsidRDefault="00D800B4" w:rsidP="00727036">
      <w:pPr>
        <w:spacing w:after="0"/>
        <w:ind w:left="0" w:firstLine="0"/>
        <w:jc w:val="center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b/>
          <w:sz w:val="22"/>
        </w:rPr>
        <w:t>Co. 5. A parità di merito e di titoli la preferenza è determinata:</w:t>
      </w:r>
    </w:p>
    <w:p w14:paraId="737AC28F" w14:textId="38187677" w:rsidR="00576617" w:rsidRPr="00727036" w:rsidRDefault="00D800B4" w:rsidP="00727036">
      <w:pPr>
        <w:numPr>
          <w:ilvl w:val="0"/>
          <w:numId w:val="3"/>
        </w:numPr>
        <w:spacing w:after="0" w:line="343" w:lineRule="auto"/>
        <w:ind w:left="709" w:hanging="567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>dal numero dei figli a carico</w:t>
      </w:r>
      <w:r w:rsidRPr="00727036">
        <w:rPr>
          <w:rFonts w:ascii="Palatino Linotype" w:hAnsi="Palatino Linotype"/>
          <w:sz w:val="22"/>
          <w:vertAlign w:val="superscript"/>
        </w:rPr>
        <w:footnoteReference w:id="1"/>
      </w:r>
      <w:r w:rsidR="008C48AF" w:rsidRPr="00727036">
        <w:rPr>
          <w:rFonts w:ascii="Palatino Linotype" w:hAnsi="Palatino Linotype"/>
          <w:sz w:val="22"/>
        </w:rPr>
        <w:t xml:space="preserve"> ______</w:t>
      </w:r>
      <w:r w:rsidRPr="00727036">
        <w:rPr>
          <w:rFonts w:ascii="Palatino Linotype" w:hAnsi="Palatino Linotype"/>
          <w:sz w:val="22"/>
        </w:rPr>
        <w:t xml:space="preserve">, indipendentemente, dal fatto che il candidato sia coniugato o meno; </w:t>
      </w:r>
    </w:p>
    <w:p w14:paraId="4786D079" w14:textId="77777777" w:rsidR="00576617" w:rsidRPr="00727036" w:rsidRDefault="00D800B4" w:rsidP="00727036">
      <w:pPr>
        <w:numPr>
          <w:ilvl w:val="0"/>
          <w:numId w:val="3"/>
        </w:numPr>
        <w:spacing w:after="0"/>
        <w:ind w:left="709" w:hanging="567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lastRenderedPageBreak/>
        <w:t xml:space="preserve">dall’aver prestato lodevole servizio nelle Amministrazioni pubbliche. </w:t>
      </w:r>
    </w:p>
    <w:p w14:paraId="431FD510" w14:textId="77777777" w:rsidR="001001BF" w:rsidRPr="00727036" w:rsidRDefault="001001BF" w:rsidP="00727036">
      <w:pPr>
        <w:spacing w:after="0" w:line="378" w:lineRule="auto"/>
        <w:ind w:left="0" w:firstLine="0"/>
        <w:jc w:val="both"/>
        <w:rPr>
          <w:rFonts w:ascii="Palatino Linotype" w:hAnsi="Palatino Linotype"/>
          <w:sz w:val="22"/>
        </w:rPr>
      </w:pPr>
    </w:p>
    <w:p w14:paraId="7156C8EA" w14:textId="2794DCBD" w:rsidR="00576617" w:rsidRPr="00727036" w:rsidRDefault="00D800B4" w:rsidP="00727036">
      <w:pPr>
        <w:spacing w:after="0" w:line="378" w:lineRule="auto"/>
        <w:ind w:left="0" w:firstLine="0"/>
        <w:jc w:val="both"/>
        <w:rPr>
          <w:rFonts w:ascii="Palatino Linotype" w:hAnsi="Palatino Linotype"/>
          <w:sz w:val="22"/>
        </w:rPr>
      </w:pPr>
      <w:r w:rsidRPr="00727036">
        <w:rPr>
          <w:rFonts w:ascii="Palatino Linotype" w:hAnsi="Palatino Linotype"/>
          <w:sz w:val="22"/>
        </w:rPr>
        <w:t xml:space="preserve">Il punto c) comma 5, art. 5, DPR 487/94 è stato abrogato dal comma 7, art. 3, Legge 127/1997. Pertanto, </w:t>
      </w:r>
      <w:r w:rsidRPr="00727036">
        <w:rPr>
          <w:rFonts w:ascii="Palatino Linotype" w:hAnsi="Palatino Linotype"/>
          <w:b/>
          <w:sz w:val="22"/>
        </w:rPr>
        <w:t xml:space="preserve">a parità di punteggio e di altri titoli di preferenza e precedenza </w:t>
      </w:r>
      <w:r w:rsidRPr="00727036">
        <w:rPr>
          <w:rFonts w:ascii="Palatino Linotype" w:hAnsi="Palatino Linotype"/>
          <w:sz w:val="22"/>
        </w:rPr>
        <w:t xml:space="preserve">previsti dall’art. 5 - comma 4 - del DPR 487/94, </w:t>
      </w:r>
      <w:r w:rsidRPr="00727036">
        <w:rPr>
          <w:rFonts w:ascii="Palatino Linotype" w:hAnsi="Palatino Linotype"/>
          <w:b/>
          <w:sz w:val="22"/>
        </w:rPr>
        <w:t xml:space="preserve">precederà in graduatoria il candidato più giovane di età, </w:t>
      </w:r>
      <w:r w:rsidRPr="00727036">
        <w:rPr>
          <w:rFonts w:ascii="Palatino Linotype" w:hAnsi="Palatino Linotype"/>
          <w:sz w:val="22"/>
        </w:rPr>
        <w:t>così come previsto dalla Legge 191/98, art. 2 comma 9.</w:t>
      </w:r>
    </w:p>
    <w:sectPr w:rsidR="00576617" w:rsidRPr="00727036">
      <w:footnotePr>
        <w:numRestart w:val="eachPage"/>
      </w:footnotePr>
      <w:pgSz w:w="12240" w:h="15840"/>
      <w:pgMar w:top="1490" w:right="1131" w:bottom="1269" w:left="9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E2FB" w14:textId="77777777" w:rsidR="002C7C86" w:rsidRDefault="00D800B4">
      <w:pPr>
        <w:spacing w:after="0" w:line="240" w:lineRule="auto"/>
      </w:pPr>
      <w:r>
        <w:separator/>
      </w:r>
    </w:p>
  </w:endnote>
  <w:endnote w:type="continuationSeparator" w:id="0">
    <w:p w14:paraId="642F2BD5" w14:textId="77777777" w:rsidR="002C7C86" w:rsidRDefault="00D8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DE44" w14:textId="77777777" w:rsidR="00576617" w:rsidRDefault="00D800B4">
      <w:pPr>
        <w:spacing w:after="0"/>
        <w:ind w:left="206" w:firstLine="0"/>
      </w:pPr>
      <w:r>
        <w:separator/>
      </w:r>
    </w:p>
  </w:footnote>
  <w:footnote w:type="continuationSeparator" w:id="0">
    <w:p w14:paraId="19EC6669" w14:textId="77777777" w:rsidR="00576617" w:rsidRDefault="00D800B4">
      <w:pPr>
        <w:spacing w:after="0"/>
        <w:ind w:left="206" w:firstLine="0"/>
      </w:pPr>
      <w:r>
        <w:continuationSeparator/>
      </w:r>
    </w:p>
  </w:footnote>
  <w:footnote w:id="1">
    <w:p w14:paraId="3D00B0AC" w14:textId="77777777" w:rsidR="00576617" w:rsidRDefault="00D800B4">
      <w:pPr>
        <w:pStyle w:val="footnotedescription"/>
        <w:spacing w:after="0" w:line="259" w:lineRule="auto"/>
        <w:ind w:firstLine="0"/>
      </w:pPr>
      <w:r>
        <w:rPr>
          <w:rStyle w:val="footnotemark"/>
        </w:rPr>
        <w:footnoteRef/>
      </w:r>
      <w:r>
        <w:rPr>
          <w:sz w:val="22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vertAlign w:val="baseline"/>
        </w:rPr>
        <w:t>per figli a carico si intendono i figli di età inferiore a 18 anni compiuti, ovvero, senza limite di età nel caso si trovino, a causa di infermità, nell’assoluta e permanente impossibilità di dedicarsi a proficuo lavoro, che siano conviventi del candidato ossia risultanti nello stesso stato di famiglia e che risultino fiscalmente a carico. La condizione di infermità deve risultare, in maniera espressa, da certificazione rilasciata dalla ASL, non sostituibile da altra certificazione.</w:t>
      </w:r>
      <w:r>
        <w:rPr>
          <w:rFonts w:ascii="Arial" w:eastAsia="Arial" w:hAnsi="Arial" w:cs="Arial"/>
          <w:sz w:val="16"/>
          <w:vertAlign w:val="baseline"/>
        </w:rPr>
        <w:t xml:space="preserve"> </w:t>
      </w:r>
    </w:p>
    <w:p w14:paraId="5E868E1D" w14:textId="77777777" w:rsidR="00576617" w:rsidRDefault="00D800B4">
      <w:pPr>
        <w:pStyle w:val="footnotedescription"/>
        <w:spacing w:after="0" w:line="259" w:lineRule="auto"/>
        <w:ind w:firstLine="0"/>
      </w:pPr>
      <w:r>
        <w:rPr>
          <w:sz w:val="20"/>
          <w:vertAlign w:val="baseli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580"/>
    <w:multiLevelType w:val="hybridMultilevel"/>
    <w:tmpl w:val="FFFFFFFF"/>
    <w:lvl w:ilvl="0" w:tplc="913065DC">
      <w:start w:val="1"/>
      <w:numFmt w:val="lowerLetter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21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8AC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4E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24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07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3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2A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A12A0"/>
    <w:multiLevelType w:val="hybridMultilevel"/>
    <w:tmpl w:val="FFFFFFFF"/>
    <w:lvl w:ilvl="0" w:tplc="5660F23E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A98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070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06C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CD71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AAB8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8C96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E232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02B5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2233F"/>
    <w:multiLevelType w:val="hybridMultilevel"/>
    <w:tmpl w:val="FFFFFFFF"/>
    <w:lvl w:ilvl="0" w:tplc="BDE6B4EA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EA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E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4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0D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1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8E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A8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46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5256790">
    <w:abstractNumId w:val="1"/>
  </w:num>
  <w:num w:numId="2" w16cid:durableId="1825463711">
    <w:abstractNumId w:val="2"/>
  </w:num>
  <w:num w:numId="3" w16cid:durableId="108765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17"/>
    <w:rsid w:val="001001BF"/>
    <w:rsid w:val="0023173F"/>
    <w:rsid w:val="002C7C86"/>
    <w:rsid w:val="002D08BF"/>
    <w:rsid w:val="00576617"/>
    <w:rsid w:val="00727036"/>
    <w:rsid w:val="008C48AF"/>
    <w:rsid w:val="009F1E72"/>
    <w:rsid w:val="00D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725E"/>
  <w15:docId w15:val="{B06F0EF4-DA60-D84D-AD51-D874EA2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76"/>
      <w:ind w:left="216" w:hanging="10"/>
    </w:pPr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6"/>
      <w:ind w:left="2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53" w:line="345" w:lineRule="auto"/>
      <w:ind w:left="206" w:firstLine="35"/>
    </w:pPr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Denisia Vanesa Toderita</cp:lastModifiedBy>
  <cp:revision>3</cp:revision>
  <dcterms:created xsi:type="dcterms:W3CDTF">2023-05-03T14:22:00Z</dcterms:created>
  <dcterms:modified xsi:type="dcterms:W3CDTF">2023-05-03T14:23:00Z</dcterms:modified>
</cp:coreProperties>
</file>